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7AFC" w14:textId="77777777" w:rsidR="00CD6C4E" w:rsidRDefault="00CD6C4E"/>
    <w:p w14:paraId="0A91B124" w14:textId="49AD4AB4" w:rsidR="00CA7407" w:rsidRDefault="00CA7407" w:rsidP="00CA7407">
      <w:pPr>
        <w:pStyle w:val="Overskrift1"/>
        <w:rPr>
          <w:lang w:val="fo-FO"/>
        </w:rPr>
      </w:pPr>
      <w:proofErr w:type="spellStart"/>
      <w:r>
        <w:rPr>
          <w:lang w:val="fo-FO"/>
        </w:rPr>
        <w:t>Appendix</w:t>
      </w:r>
      <w:proofErr w:type="spellEnd"/>
      <w:r>
        <w:rPr>
          <w:lang w:val="fo-FO"/>
        </w:rPr>
        <w:t xml:space="preserve"> 2 </w:t>
      </w:r>
      <w:proofErr w:type="spellStart"/>
      <w:r>
        <w:rPr>
          <w:lang w:val="fo-FO"/>
        </w:rPr>
        <w:t>b</w:t>
      </w:r>
      <w:proofErr w:type="spellEnd"/>
      <w:r w:rsidR="00B17423">
        <w:rPr>
          <w:lang w:val="fo-FO"/>
        </w:rPr>
        <w:t xml:space="preserve">- </w:t>
      </w:r>
      <w:r w:rsidR="00B17423" w:rsidRPr="00B17423">
        <w:t>to the tender for the video system</w:t>
      </w:r>
      <w:r w:rsidR="00B17423">
        <w:rPr>
          <w:lang w:val="fo-FO"/>
        </w:rPr>
        <w:t xml:space="preserve">: </w:t>
      </w:r>
      <w:proofErr w:type="spellStart"/>
      <w:r w:rsidRPr="00CD6C4E">
        <w:rPr>
          <w:lang w:val="fo-FO"/>
        </w:rPr>
        <w:t>Supplier’s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solution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description</w:t>
      </w:r>
      <w:proofErr w:type="spellEnd"/>
    </w:p>
    <w:p w14:paraId="10A8577D" w14:textId="4D2D9CB6" w:rsidR="00CD6C4E" w:rsidRDefault="00CD6C4E" w:rsidP="00CD6C4E">
      <w:pPr>
        <w:rPr>
          <w:lang w:val="fo-FO"/>
        </w:rPr>
      </w:pPr>
      <w:proofErr w:type="spellStart"/>
      <w:r w:rsidRPr="00CD6C4E">
        <w:rPr>
          <w:lang w:val="fo-FO"/>
        </w:rPr>
        <w:t>This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appendix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contains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Supplier’s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solution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description</w:t>
      </w:r>
      <w:proofErr w:type="spellEnd"/>
      <w:r w:rsidRPr="00CD6C4E">
        <w:rPr>
          <w:lang w:val="fo-FO"/>
        </w:rPr>
        <w:t xml:space="preserve">. The </w:t>
      </w:r>
      <w:proofErr w:type="spellStart"/>
      <w:r w:rsidRPr="00CD6C4E">
        <w:rPr>
          <w:lang w:val="fo-FO"/>
        </w:rPr>
        <w:t>description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of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solution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regarding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evaluation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requirements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will</w:t>
      </w:r>
      <w:proofErr w:type="spellEnd"/>
      <w:r w:rsidRPr="00CD6C4E">
        <w:rPr>
          <w:lang w:val="fo-FO"/>
        </w:rPr>
        <w:t xml:space="preserve"> form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basis</w:t>
      </w:r>
      <w:proofErr w:type="spellEnd"/>
      <w:r w:rsidRPr="00CD6C4E">
        <w:rPr>
          <w:lang w:val="fo-FO"/>
        </w:rPr>
        <w:t xml:space="preserve"> for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evaluation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of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the</w:t>
      </w:r>
      <w:proofErr w:type="spellEnd"/>
      <w:r w:rsidRPr="00CD6C4E">
        <w:rPr>
          <w:lang w:val="fo-FO"/>
        </w:rPr>
        <w:t xml:space="preserve"> </w:t>
      </w:r>
      <w:proofErr w:type="spellStart"/>
      <w:r w:rsidRPr="00CD6C4E">
        <w:rPr>
          <w:lang w:val="fo-FO"/>
        </w:rPr>
        <w:t>tender</w:t>
      </w:r>
      <w:proofErr w:type="spellEnd"/>
      <w:r>
        <w:rPr>
          <w:lang w:val="fo-FO"/>
        </w:rPr>
        <w:t xml:space="preserve">, </w:t>
      </w:r>
      <w:proofErr w:type="spellStart"/>
      <w:r>
        <w:rPr>
          <w:lang w:val="fo-FO"/>
        </w:rPr>
        <w:t>se</w:t>
      </w:r>
      <w:r w:rsidR="00360707">
        <w:rPr>
          <w:lang w:val="fo-FO"/>
        </w:rPr>
        <w:t>e</w:t>
      </w:r>
      <w:proofErr w:type="spellEnd"/>
      <w:r>
        <w:rPr>
          <w:lang w:val="fo-FO"/>
        </w:rPr>
        <w:t xml:space="preserve"> </w:t>
      </w:r>
      <w:proofErr w:type="spellStart"/>
      <w:r>
        <w:rPr>
          <w:lang w:val="fo-FO"/>
        </w:rPr>
        <w:t>the</w:t>
      </w:r>
      <w:proofErr w:type="spellEnd"/>
      <w:r>
        <w:rPr>
          <w:lang w:val="fo-FO"/>
        </w:rPr>
        <w:t xml:space="preserve"> </w:t>
      </w:r>
      <w:proofErr w:type="spellStart"/>
      <w:r>
        <w:rPr>
          <w:lang w:val="fo-FO"/>
        </w:rPr>
        <w:t>document</w:t>
      </w:r>
      <w:proofErr w:type="spellEnd"/>
      <w:r>
        <w:rPr>
          <w:lang w:val="fo-FO"/>
        </w:rPr>
        <w:t xml:space="preserve"> Útboð </w:t>
      </w:r>
      <w:proofErr w:type="spellStart"/>
      <w:r>
        <w:rPr>
          <w:lang w:val="fo-FO"/>
        </w:rPr>
        <w:t>on</w:t>
      </w:r>
      <w:proofErr w:type="spellEnd"/>
      <w:r>
        <w:rPr>
          <w:lang w:val="fo-FO"/>
        </w:rPr>
        <w:t xml:space="preserve"> </w:t>
      </w:r>
      <w:proofErr w:type="spellStart"/>
      <w:r w:rsidR="00C90DCC" w:rsidRPr="00B4679A">
        <w:rPr>
          <w:i/>
          <w:iCs/>
          <w:lang w:val="fo-FO"/>
        </w:rPr>
        <w:t>price</w:t>
      </w:r>
      <w:proofErr w:type="spellEnd"/>
      <w:r w:rsidR="00C90DCC">
        <w:rPr>
          <w:lang w:val="fo-FO"/>
        </w:rPr>
        <w:t xml:space="preserve"> and </w:t>
      </w:r>
      <w:proofErr w:type="spellStart"/>
      <w:r w:rsidRPr="00B4679A">
        <w:rPr>
          <w:i/>
          <w:iCs/>
          <w:lang w:val="fo-FO"/>
        </w:rPr>
        <w:t>quality</w:t>
      </w:r>
      <w:proofErr w:type="spellEnd"/>
      <w:r>
        <w:rPr>
          <w:lang w:val="fo-FO"/>
        </w:rPr>
        <w:t xml:space="preserve">. </w:t>
      </w:r>
    </w:p>
    <w:p w14:paraId="2B003442" w14:textId="2F4D4FC8" w:rsidR="00CA7407" w:rsidRDefault="00CA7407" w:rsidP="00CD6C4E">
      <w:pPr>
        <w:rPr>
          <w:lang w:val="fo-FO"/>
        </w:rPr>
      </w:pPr>
      <w:r w:rsidRPr="00CA7407">
        <w:rPr>
          <w:lang w:val="fo-FO"/>
        </w:rPr>
        <w:t xml:space="preserve">The </w:t>
      </w:r>
      <w:proofErr w:type="spellStart"/>
      <w:r w:rsidRPr="00CA7407">
        <w:rPr>
          <w:lang w:val="fo-FO"/>
        </w:rPr>
        <w:t>Supplier’s</w:t>
      </w:r>
      <w:proofErr w:type="spellEnd"/>
      <w:r w:rsidRPr="00CA7407">
        <w:rPr>
          <w:lang w:val="fo-FO"/>
        </w:rPr>
        <w:t xml:space="preserve"> </w:t>
      </w:r>
      <w:proofErr w:type="spellStart"/>
      <w:r w:rsidRPr="00CA7407">
        <w:rPr>
          <w:lang w:val="fo-FO"/>
        </w:rPr>
        <w:t>response</w:t>
      </w:r>
      <w:proofErr w:type="spellEnd"/>
      <w:r w:rsidRPr="00CA7407">
        <w:rPr>
          <w:lang w:val="fo-FO"/>
        </w:rPr>
        <w:t xml:space="preserve"> </w:t>
      </w:r>
      <w:proofErr w:type="spellStart"/>
      <w:r w:rsidRPr="00CA7407">
        <w:rPr>
          <w:lang w:val="fo-FO"/>
        </w:rPr>
        <w:t>will</w:t>
      </w:r>
      <w:proofErr w:type="spellEnd"/>
      <w:r w:rsidRPr="00CA7407">
        <w:rPr>
          <w:lang w:val="fo-FO"/>
        </w:rPr>
        <w:t xml:space="preserve"> form part </w:t>
      </w:r>
      <w:proofErr w:type="spellStart"/>
      <w:r w:rsidRPr="00CA7407">
        <w:rPr>
          <w:lang w:val="fo-FO"/>
        </w:rPr>
        <w:t>of</w:t>
      </w:r>
      <w:proofErr w:type="spellEnd"/>
      <w:r w:rsidRPr="00CA7407">
        <w:rPr>
          <w:lang w:val="fo-FO"/>
        </w:rPr>
        <w:t xml:space="preserve"> </w:t>
      </w:r>
      <w:proofErr w:type="spellStart"/>
      <w:r w:rsidRPr="00CA7407">
        <w:rPr>
          <w:lang w:val="fo-FO"/>
        </w:rPr>
        <w:t>the</w:t>
      </w:r>
      <w:proofErr w:type="spellEnd"/>
      <w:r w:rsidRPr="00CA7407">
        <w:rPr>
          <w:lang w:val="fo-FO"/>
        </w:rPr>
        <w:t xml:space="preserve"> </w:t>
      </w:r>
      <w:proofErr w:type="spellStart"/>
      <w:r w:rsidRPr="00CA7407">
        <w:rPr>
          <w:lang w:val="fo-FO"/>
        </w:rPr>
        <w:t>contractual</w:t>
      </w:r>
      <w:proofErr w:type="spellEnd"/>
      <w:r w:rsidRPr="00CA7407">
        <w:rPr>
          <w:lang w:val="fo-FO"/>
        </w:rPr>
        <w:t xml:space="preserve"> </w:t>
      </w:r>
      <w:proofErr w:type="spellStart"/>
      <w:r w:rsidRPr="00CA7407">
        <w:rPr>
          <w:lang w:val="fo-FO"/>
        </w:rPr>
        <w:t>requirements</w:t>
      </w:r>
      <w:proofErr w:type="spellEnd"/>
      <w:r w:rsidRPr="00CA7407">
        <w:rPr>
          <w:lang w:val="fo-FO"/>
        </w:rPr>
        <w:t>.</w:t>
      </w:r>
    </w:p>
    <w:p w14:paraId="3FFEF80F" w14:textId="757B84C2" w:rsidR="004E7FA0" w:rsidRDefault="00CA7407" w:rsidP="00CD6C4E">
      <w:r w:rsidRPr="00CA7407">
        <w:t>The Supplier is requested to provide their response in this document, and the response must not exceed three pages of text in standard font size.</w:t>
      </w:r>
    </w:p>
    <w:p w14:paraId="3275CB57" w14:textId="7FB7BB9A" w:rsidR="004E7FA0" w:rsidRDefault="004E7FA0" w:rsidP="004E7FA0">
      <w:pPr>
        <w:pStyle w:val="Overskrift1"/>
      </w:pPr>
      <w:r>
        <w:t>Price: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576B" w14:paraId="00E189BA" w14:textId="77777777" w:rsidTr="003E576B">
        <w:tc>
          <w:tcPr>
            <w:tcW w:w="4508" w:type="dxa"/>
          </w:tcPr>
          <w:p w14:paraId="3E0BB322" w14:textId="5B8BA0B3" w:rsidR="003E576B" w:rsidRDefault="003E576B" w:rsidP="00B74D84"/>
        </w:tc>
        <w:tc>
          <w:tcPr>
            <w:tcW w:w="4508" w:type="dxa"/>
          </w:tcPr>
          <w:p w14:paraId="61E3F2AC" w14:textId="4FE44643" w:rsidR="00C232D4" w:rsidRPr="00C232D4" w:rsidRDefault="00C232D4" w:rsidP="00B74D84">
            <w:pPr>
              <w:rPr>
                <w:b/>
                <w:bCs/>
              </w:rPr>
            </w:pPr>
            <w:r w:rsidRPr="00CA7407">
              <w:rPr>
                <w:b/>
                <w:bCs/>
              </w:rPr>
              <w:t>The answer:</w:t>
            </w:r>
          </w:p>
        </w:tc>
      </w:tr>
      <w:tr w:rsidR="00C232D4" w14:paraId="74D50821" w14:textId="77777777" w:rsidTr="003E576B">
        <w:tc>
          <w:tcPr>
            <w:tcW w:w="4508" w:type="dxa"/>
          </w:tcPr>
          <w:p w14:paraId="03483CDD" w14:textId="77E8735A" w:rsidR="00C232D4" w:rsidRPr="008970C6" w:rsidRDefault="00C232D4" w:rsidP="00B74D84">
            <w:r w:rsidRPr="008970C6">
              <w:t>Implementation of the engine (one-time implementation fee)</w:t>
            </w:r>
          </w:p>
        </w:tc>
        <w:tc>
          <w:tcPr>
            <w:tcW w:w="4508" w:type="dxa"/>
          </w:tcPr>
          <w:p w14:paraId="0553A45C" w14:textId="78E3F06E" w:rsidR="00C232D4" w:rsidRDefault="00C232D4" w:rsidP="00B74D84">
            <w:r>
              <w:t>DKK:</w:t>
            </w:r>
          </w:p>
        </w:tc>
      </w:tr>
      <w:tr w:rsidR="003E576B" w14:paraId="5AAC5110" w14:textId="77777777" w:rsidTr="003E576B">
        <w:tc>
          <w:tcPr>
            <w:tcW w:w="4508" w:type="dxa"/>
          </w:tcPr>
          <w:p w14:paraId="676D64DB" w14:textId="315869BD" w:rsidR="003E576B" w:rsidRDefault="00C232D4" w:rsidP="00B74D84">
            <w:r w:rsidRPr="00C232D4">
              <w:t>Operational costs (per month)</w:t>
            </w:r>
          </w:p>
        </w:tc>
        <w:tc>
          <w:tcPr>
            <w:tcW w:w="4508" w:type="dxa"/>
          </w:tcPr>
          <w:p w14:paraId="6AC31FEA" w14:textId="76EA0D01" w:rsidR="003E576B" w:rsidRDefault="00C232D4" w:rsidP="00B74D84">
            <w:r>
              <w:t>DKK:</w:t>
            </w:r>
          </w:p>
        </w:tc>
      </w:tr>
    </w:tbl>
    <w:p w14:paraId="498CF7C1" w14:textId="30C22FB8" w:rsidR="00B74D84" w:rsidRDefault="00B74D84" w:rsidP="00B74D84"/>
    <w:p w14:paraId="6F4A7BA7" w14:textId="0FFF396D" w:rsidR="00193332" w:rsidRDefault="00AE5288" w:rsidP="00C22680">
      <w:r w:rsidRPr="00AE5288">
        <w:t>The total price covering a three-year period will form part of the weighted evaluation</w:t>
      </w:r>
      <w:r w:rsidR="008162EB">
        <w:t>.</w:t>
      </w:r>
    </w:p>
    <w:p w14:paraId="4639FE48" w14:textId="77777777" w:rsidR="008162EB" w:rsidRDefault="008162EB" w:rsidP="00C22680"/>
    <w:p w14:paraId="3E0F0910" w14:textId="27DD491C" w:rsidR="004E7FA0" w:rsidRPr="004E7FA0" w:rsidRDefault="004E7FA0" w:rsidP="004E7FA0">
      <w:pPr>
        <w:pStyle w:val="Overskrift1"/>
      </w:pPr>
      <w:r>
        <w:t>Quality</w:t>
      </w:r>
    </w:p>
    <w:p w14:paraId="750281A7" w14:textId="4C5915DB" w:rsidR="00CD6C4E" w:rsidRPr="00193332" w:rsidRDefault="00CD6C4E" w:rsidP="00193332">
      <w:pPr>
        <w:pStyle w:val="Overskrift2"/>
      </w:pPr>
      <w:r w:rsidRPr="00193332">
        <w:t>Implementation Plan</w:t>
      </w:r>
    </w:p>
    <w:p w14:paraId="692F0EC7" w14:textId="39DCF862" w:rsidR="00CD6C4E" w:rsidRDefault="00CD6C4E" w:rsidP="00CD6C4E">
      <w:r>
        <w:t>As described in appendix 2</w:t>
      </w:r>
      <w:r w:rsidR="008162EB">
        <w:t>a</w:t>
      </w:r>
      <w:r>
        <w:t>, part 2 on implementation plan</w:t>
      </w:r>
    </w:p>
    <w:p w14:paraId="4962E010" w14:textId="2A1AEAC6" w:rsidR="00CD6C4E" w:rsidRDefault="00CD6C4E" w:rsidP="00CD6C4E">
      <w:pPr>
        <w:rPr>
          <w:b/>
          <w:bCs/>
        </w:rPr>
      </w:pPr>
      <w:r w:rsidRPr="00CA7407">
        <w:rPr>
          <w:b/>
          <w:bCs/>
        </w:rPr>
        <w:t>The answer:</w:t>
      </w:r>
    </w:p>
    <w:p w14:paraId="0AC56383" w14:textId="77777777" w:rsidR="00CA7407" w:rsidRDefault="00CA7407" w:rsidP="00CD6C4E">
      <w:pPr>
        <w:rPr>
          <w:b/>
          <w:bCs/>
        </w:rPr>
      </w:pPr>
    </w:p>
    <w:p w14:paraId="4EAED296" w14:textId="717CE886" w:rsidR="00CA7407" w:rsidRDefault="00E0384C" w:rsidP="00DD7357">
      <w:pPr>
        <w:pStyle w:val="Overskrift2"/>
      </w:pPr>
      <w:r>
        <w:t>Capacity and s</w:t>
      </w:r>
      <w:r w:rsidR="0002727A">
        <w:t>calability</w:t>
      </w:r>
    </w:p>
    <w:p w14:paraId="48DDAF98" w14:textId="6D31947A" w:rsidR="00DD7357" w:rsidRPr="00DD7357" w:rsidRDefault="00DD7357" w:rsidP="00DD7357">
      <w:r>
        <w:t>As described in appendix 2</w:t>
      </w:r>
      <w:r w:rsidR="008162EB">
        <w:t>a</w:t>
      </w:r>
      <w:r>
        <w:t xml:space="preserve">, part </w:t>
      </w:r>
      <w:r w:rsidR="006B3CEA">
        <w:t>4</w:t>
      </w:r>
      <w:r>
        <w:t xml:space="preserve"> on </w:t>
      </w:r>
      <w:r w:rsidR="006B3CEA">
        <w:t>scalability</w:t>
      </w:r>
    </w:p>
    <w:p w14:paraId="31E0EECC" w14:textId="250195D4" w:rsidR="00DD7357" w:rsidRDefault="00DD7357" w:rsidP="00DD7357">
      <w:pPr>
        <w:rPr>
          <w:b/>
          <w:bCs/>
        </w:rPr>
      </w:pPr>
      <w:r w:rsidRPr="00CA7407">
        <w:rPr>
          <w:b/>
          <w:bCs/>
        </w:rPr>
        <w:t>The answer:</w:t>
      </w:r>
    </w:p>
    <w:p w14:paraId="02D3902D" w14:textId="77777777" w:rsidR="00DD7357" w:rsidRDefault="00DD7357" w:rsidP="00CD6C4E">
      <w:pPr>
        <w:rPr>
          <w:b/>
          <w:bCs/>
        </w:rPr>
      </w:pPr>
    </w:p>
    <w:p w14:paraId="3823E016" w14:textId="77777777" w:rsidR="0002727A" w:rsidRPr="00CA7407" w:rsidRDefault="0002727A" w:rsidP="00CD6C4E">
      <w:pPr>
        <w:rPr>
          <w:b/>
          <w:bCs/>
        </w:rPr>
      </w:pPr>
    </w:p>
    <w:p w14:paraId="4BBAA67F" w14:textId="108E6EF7" w:rsidR="00CD6C4E" w:rsidRDefault="00CD6C4E" w:rsidP="004E7FA0">
      <w:pPr>
        <w:pStyle w:val="Overskrift2"/>
      </w:pPr>
      <w:r>
        <w:lastRenderedPageBreak/>
        <w:t>Video Support and Functionality</w:t>
      </w:r>
    </w:p>
    <w:p w14:paraId="27D9AB2F" w14:textId="2219F419" w:rsidR="00CD6C4E" w:rsidRDefault="00CD6C4E" w:rsidP="00CD6C4E">
      <w:r>
        <w:t>As described in appendix 2</w:t>
      </w:r>
      <w:r w:rsidR="008162EB">
        <w:t>a</w:t>
      </w:r>
      <w:r>
        <w:t>, part 5 on video support and functionality</w:t>
      </w:r>
    </w:p>
    <w:p w14:paraId="0F311C2E" w14:textId="5B20B5E2" w:rsidR="00CD6C4E" w:rsidRDefault="00CD6C4E" w:rsidP="00CD6C4E">
      <w:pPr>
        <w:rPr>
          <w:b/>
          <w:bCs/>
        </w:rPr>
      </w:pPr>
      <w:r w:rsidRPr="00CA7407">
        <w:rPr>
          <w:b/>
          <w:bCs/>
        </w:rPr>
        <w:t>The answer:</w:t>
      </w:r>
    </w:p>
    <w:p w14:paraId="04EA3401" w14:textId="77777777" w:rsidR="00CD6C4E" w:rsidRDefault="00CD6C4E" w:rsidP="00CD6C4E"/>
    <w:p w14:paraId="20D69864" w14:textId="77777777" w:rsidR="00CD6C4E" w:rsidRPr="00193332" w:rsidRDefault="00CD6C4E" w:rsidP="00193332">
      <w:pPr>
        <w:pStyle w:val="Overskrift2"/>
        <w:rPr>
          <w:rStyle w:val="Overskrift1Tegn"/>
          <w:sz w:val="32"/>
          <w:szCs w:val="32"/>
        </w:rPr>
      </w:pPr>
      <w:r w:rsidRPr="00193332">
        <w:rPr>
          <w:rStyle w:val="Overskrift1Tegn"/>
          <w:sz w:val="32"/>
          <w:szCs w:val="32"/>
        </w:rPr>
        <w:t>Core Functionality</w:t>
      </w:r>
    </w:p>
    <w:p w14:paraId="6A12C622" w14:textId="58B62C96" w:rsidR="00CD6C4E" w:rsidRDefault="00CD6C4E" w:rsidP="00CD6C4E">
      <w:r>
        <w:t>As described in appendix 2</w:t>
      </w:r>
      <w:r w:rsidR="008162EB">
        <w:t>a</w:t>
      </w:r>
      <w:r>
        <w:t>, part 5 on core functionality</w:t>
      </w:r>
      <w:r>
        <w:br/>
      </w:r>
      <w:r w:rsidRPr="00CA7407">
        <w:rPr>
          <w:b/>
          <w:bCs/>
        </w:rPr>
        <w:t>The answer:</w:t>
      </w:r>
    </w:p>
    <w:p w14:paraId="0519461F" w14:textId="6D47F3BF" w:rsidR="00CD6C4E" w:rsidRDefault="00CD6C4E" w:rsidP="00CD6C4E"/>
    <w:p w14:paraId="3CC7E823" w14:textId="2EFAA969" w:rsidR="00CA7407" w:rsidRPr="00193332" w:rsidRDefault="00816635" w:rsidP="00193332">
      <w:pPr>
        <w:pStyle w:val="Overskrift2"/>
        <w:rPr>
          <w:rStyle w:val="Overskrift1Tegn"/>
          <w:sz w:val="32"/>
          <w:szCs w:val="32"/>
        </w:rPr>
      </w:pPr>
      <w:proofErr w:type="gramStart"/>
      <w:r w:rsidRPr="00193332">
        <w:rPr>
          <w:rStyle w:val="Overskrift1Tegn"/>
          <w:sz w:val="32"/>
          <w:szCs w:val="32"/>
        </w:rPr>
        <w:t>Suppliers</w:t>
      </w:r>
      <w:proofErr w:type="gramEnd"/>
      <w:r w:rsidRPr="00193332">
        <w:rPr>
          <w:rStyle w:val="Overskrift1Tegn"/>
          <w:sz w:val="32"/>
          <w:szCs w:val="32"/>
        </w:rPr>
        <w:t xml:space="preserve"> operational setup</w:t>
      </w:r>
    </w:p>
    <w:p w14:paraId="50077646" w14:textId="7D1F8013" w:rsidR="00866BA3" w:rsidRDefault="00866BA3" w:rsidP="00CD6C4E">
      <w:r>
        <w:t>The supplier shall describe their operational setup</w:t>
      </w:r>
      <w:r w:rsidR="00F449A4">
        <w:t>, including datacenter setup</w:t>
      </w:r>
      <w:r>
        <w:t xml:space="preserve">. </w:t>
      </w:r>
    </w:p>
    <w:p w14:paraId="5243F912" w14:textId="589E67F8" w:rsidR="00816635" w:rsidRDefault="00816635" w:rsidP="00CD6C4E">
      <w:pPr>
        <w:rPr>
          <w:b/>
          <w:bCs/>
        </w:rPr>
      </w:pPr>
      <w:r w:rsidRPr="00CA7407">
        <w:rPr>
          <w:b/>
          <w:bCs/>
        </w:rPr>
        <w:t>The answer:</w:t>
      </w:r>
    </w:p>
    <w:p w14:paraId="4F907831" w14:textId="77777777" w:rsidR="00FA2B23" w:rsidRDefault="00FA2B23" w:rsidP="00CD6C4E"/>
    <w:p w14:paraId="54FB6CD6" w14:textId="087D8CED" w:rsidR="00816635" w:rsidRDefault="007B188E" w:rsidP="003C2235">
      <w:pPr>
        <w:pStyle w:val="Overskrift2"/>
      </w:pPr>
      <w:r>
        <w:t>Integration</w:t>
      </w:r>
    </w:p>
    <w:p w14:paraId="61290208" w14:textId="1AB2B1CA" w:rsidR="003C2235" w:rsidRDefault="003C2235" w:rsidP="003C2235">
      <w:r>
        <w:t>The supplier shall describ</w:t>
      </w:r>
      <w:r w:rsidR="0045200C">
        <w:t>e the integration setup</w:t>
      </w:r>
      <w:r w:rsidR="00FA2B23">
        <w:t>.</w:t>
      </w:r>
    </w:p>
    <w:p w14:paraId="421C9925" w14:textId="77777777" w:rsidR="003C2235" w:rsidRDefault="003C2235" w:rsidP="003C2235">
      <w:r w:rsidRPr="00CA7407">
        <w:rPr>
          <w:b/>
          <w:bCs/>
        </w:rPr>
        <w:t>The answer:</w:t>
      </w:r>
    </w:p>
    <w:p w14:paraId="4E30D307" w14:textId="77777777" w:rsidR="003C2235" w:rsidRPr="003C2235" w:rsidRDefault="003C2235" w:rsidP="003C2235"/>
    <w:p w14:paraId="25779005" w14:textId="06BE6B5E" w:rsidR="003C2235" w:rsidRDefault="003C2235" w:rsidP="003C2235">
      <w:pPr>
        <w:pStyle w:val="Overskrift2"/>
      </w:pPr>
      <w:r>
        <w:t xml:space="preserve">Security </w:t>
      </w:r>
    </w:p>
    <w:p w14:paraId="700E50D4" w14:textId="761B91BB" w:rsidR="003C2235" w:rsidRDefault="003C2235" w:rsidP="003C2235">
      <w:r>
        <w:t xml:space="preserve">The supplier shall </w:t>
      </w:r>
      <w:r w:rsidR="0045200C">
        <w:t xml:space="preserve">describe </w:t>
      </w:r>
      <w:r w:rsidR="00FA2B23">
        <w:t>the security setup.</w:t>
      </w:r>
    </w:p>
    <w:p w14:paraId="346A3EA4" w14:textId="77777777" w:rsidR="003C2235" w:rsidRDefault="003C2235" w:rsidP="003C2235">
      <w:r w:rsidRPr="00CA7407">
        <w:rPr>
          <w:b/>
          <w:bCs/>
        </w:rPr>
        <w:t>The answer:</w:t>
      </w:r>
    </w:p>
    <w:p w14:paraId="14C3BE5A" w14:textId="77777777" w:rsidR="003C2235" w:rsidRPr="003C2235" w:rsidRDefault="003C2235" w:rsidP="003C2235"/>
    <w:p w14:paraId="5EF05F23" w14:textId="77777777" w:rsidR="00CD6C4E" w:rsidRDefault="00CD6C4E"/>
    <w:p w14:paraId="232409E6" w14:textId="77777777" w:rsidR="00253E45" w:rsidRDefault="00253E45"/>
    <w:sectPr w:rsidR="00253E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8DAA" w14:textId="77777777" w:rsidR="003A3EC9" w:rsidRDefault="003A3EC9" w:rsidP="00CD6C4E">
      <w:pPr>
        <w:spacing w:after="0" w:line="240" w:lineRule="auto"/>
      </w:pPr>
      <w:r>
        <w:separator/>
      </w:r>
    </w:p>
  </w:endnote>
  <w:endnote w:type="continuationSeparator" w:id="0">
    <w:p w14:paraId="328DF34F" w14:textId="77777777" w:rsidR="003A3EC9" w:rsidRDefault="003A3EC9" w:rsidP="00CD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B29E" w14:textId="77777777" w:rsidR="003A3EC9" w:rsidRDefault="003A3EC9" w:rsidP="00CD6C4E">
      <w:pPr>
        <w:spacing w:after="0" w:line="240" w:lineRule="auto"/>
      </w:pPr>
      <w:r>
        <w:separator/>
      </w:r>
    </w:p>
  </w:footnote>
  <w:footnote w:type="continuationSeparator" w:id="0">
    <w:p w14:paraId="64C77628" w14:textId="77777777" w:rsidR="003A3EC9" w:rsidRDefault="003A3EC9" w:rsidP="00CD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36EA" w14:textId="1DDE2415" w:rsidR="00CD6C4E" w:rsidRDefault="00CD6C4E">
    <w:pPr>
      <w:pStyle w:val="Sidehoved"/>
    </w:pPr>
    <w:r>
      <w:rPr>
        <w:rFonts w:hint="eastAsia"/>
        <w:noProof/>
        <w:lang w:eastAsia="fo-FO"/>
      </w:rPr>
      <w:drawing>
        <wp:anchor distT="0" distB="0" distL="114300" distR="114300" simplePos="0" relativeHeight="251659264" behindDoc="1" locked="0" layoutInCell="1" allowOverlap="1" wp14:anchorId="7C14FCC7" wp14:editId="67591E82">
          <wp:simplePos x="0" y="0"/>
          <wp:positionH relativeFrom="margin">
            <wp:posOffset>4486275</wp:posOffset>
          </wp:positionH>
          <wp:positionV relativeFrom="topMargin">
            <wp:posOffset>-379730</wp:posOffset>
          </wp:positionV>
          <wp:extent cx="1981200" cy="1348740"/>
          <wp:effectExtent l="0" t="0" r="0" b="3810"/>
          <wp:wrapTight wrapText="bothSides">
            <wp:wrapPolygon edited="0">
              <wp:start x="0" y="0"/>
              <wp:lineTo x="0" y="21356"/>
              <wp:lineTo x="21392" y="21356"/>
              <wp:lineTo x="21392" y="0"/>
              <wp:lineTo x="0" y="0"/>
            </wp:wrapPolygon>
          </wp:wrapTight>
          <wp:docPr id="125" name="LOW_LOGO_KUN_TIL_SYN.png" descr="Et billede, der indeholder tekst, Font/skrifttype, skærmbillede, hvid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LOW_LOGO_KUN_TIL_SYN.png" descr="Et billede, der indeholder tekst, Font/skrifttype, skærmbillede, hvid&#10;&#10;Indhold genereret af kunstig intelligens kan være forkert.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38"/>
                  <a:stretch/>
                </pic:blipFill>
                <pic:spPr bwMode="auto">
                  <a:xfrm>
                    <a:off x="0" y="0"/>
                    <a:ext cx="198120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E"/>
    <w:rsid w:val="0002727A"/>
    <w:rsid w:val="00044C5D"/>
    <w:rsid w:val="000B28C7"/>
    <w:rsid w:val="000C71D1"/>
    <w:rsid w:val="000F0FC8"/>
    <w:rsid w:val="0014215E"/>
    <w:rsid w:val="00191F17"/>
    <w:rsid w:val="00193332"/>
    <w:rsid w:val="001C26CA"/>
    <w:rsid w:val="00224449"/>
    <w:rsid w:val="00253E45"/>
    <w:rsid w:val="002E128E"/>
    <w:rsid w:val="00360707"/>
    <w:rsid w:val="00364E26"/>
    <w:rsid w:val="00371BFB"/>
    <w:rsid w:val="003A3EC9"/>
    <w:rsid w:val="003C2235"/>
    <w:rsid w:val="003E576B"/>
    <w:rsid w:val="004269E5"/>
    <w:rsid w:val="0045200C"/>
    <w:rsid w:val="004E7FA0"/>
    <w:rsid w:val="00506935"/>
    <w:rsid w:val="00567EFD"/>
    <w:rsid w:val="0064648F"/>
    <w:rsid w:val="006B3CEA"/>
    <w:rsid w:val="006C4395"/>
    <w:rsid w:val="00757DE4"/>
    <w:rsid w:val="0078679D"/>
    <w:rsid w:val="007B188E"/>
    <w:rsid w:val="007F5FC0"/>
    <w:rsid w:val="008162EB"/>
    <w:rsid w:val="00816635"/>
    <w:rsid w:val="00866BA3"/>
    <w:rsid w:val="008970C6"/>
    <w:rsid w:val="009073D7"/>
    <w:rsid w:val="00AE5288"/>
    <w:rsid w:val="00B17423"/>
    <w:rsid w:val="00B4679A"/>
    <w:rsid w:val="00B74D84"/>
    <w:rsid w:val="00B75BC8"/>
    <w:rsid w:val="00B845C6"/>
    <w:rsid w:val="00BC07B7"/>
    <w:rsid w:val="00C22680"/>
    <w:rsid w:val="00C232D4"/>
    <w:rsid w:val="00C52656"/>
    <w:rsid w:val="00C85D94"/>
    <w:rsid w:val="00C90DCC"/>
    <w:rsid w:val="00CA7407"/>
    <w:rsid w:val="00CD6C4E"/>
    <w:rsid w:val="00DD7357"/>
    <w:rsid w:val="00E0384C"/>
    <w:rsid w:val="00F112DA"/>
    <w:rsid w:val="00F449A4"/>
    <w:rsid w:val="00F46CDD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A4F6"/>
  <w15:chartTrackingRefBased/>
  <w15:docId w15:val="{8552965D-5558-4281-B244-B2B826B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4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D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D6C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C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C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C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C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C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6C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6C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6C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C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6C4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C4E"/>
  </w:style>
  <w:style w:type="paragraph" w:styleId="Sidefod">
    <w:name w:val="footer"/>
    <w:basedOn w:val="Normal"/>
    <w:link w:val="SidefodTegn"/>
    <w:uiPriority w:val="99"/>
    <w:unhideWhenUsed/>
    <w:rsid w:val="00C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C4E"/>
  </w:style>
  <w:style w:type="character" w:styleId="Kommentarhenvisning">
    <w:name w:val="annotation reference"/>
    <w:basedOn w:val="Standardskrifttypeiafsnit"/>
    <w:uiPriority w:val="99"/>
    <w:semiHidden/>
    <w:unhideWhenUsed/>
    <w:rsid w:val="008166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166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16635"/>
    <w:rPr>
      <w:rFonts w:eastAsiaTheme="minorEastAsia"/>
      <w:kern w:val="0"/>
      <w:sz w:val="20"/>
      <w:szCs w:val="20"/>
      <w:lang w:val="en-US"/>
      <w14:ligatures w14:val="none"/>
    </w:rPr>
  </w:style>
  <w:style w:type="table" w:styleId="Tabel-Gitter">
    <w:name w:val="Table Grid"/>
    <w:basedOn w:val="Tabel-Normal"/>
    <w:uiPriority w:val="39"/>
    <w:rsid w:val="003E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SANSIR-WORK/Gjaldstovan/A0000_WORD/LINKS/LOW_LOGO_KUN_TIL_SYN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f16c3-7567-46ee-998d-0686c274243b}" enabled="0" method="" siteId="{405f16c3-7567-46ee-998d-0686c2742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Símun Petur Eið</dc:creator>
  <cp:keywords/>
  <dc:description/>
  <cp:lastModifiedBy>Símun Petur Eið</cp:lastModifiedBy>
  <cp:revision>37</cp:revision>
  <dcterms:created xsi:type="dcterms:W3CDTF">2026-04-27T08:26:00Z</dcterms:created>
  <dcterms:modified xsi:type="dcterms:W3CDTF">2026-05-26T15:46:00Z</dcterms:modified>
</cp:coreProperties>
</file>